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321DE" w14:textId="77777777" w:rsidR="00382E31" w:rsidRDefault="00382E31" w:rsidP="00382E31">
      <w:pPr>
        <w:pStyle w:val="Nadpis1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aps/>
          <w:color w:val="474747"/>
          <w:sz w:val="43"/>
          <w:szCs w:val="43"/>
        </w:rPr>
      </w:pPr>
      <w:proofErr w:type="spellStart"/>
      <w:r>
        <w:rPr>
          <w:rStyle w:val="lower"/>
          <w:rFonts w:ascii="Roboto" w:hAnsi="Roboto" w:cs="Arial"/>
          <w:b w:val="0"/>
          <w:bCs w:val="0"/>
          <w:color w:val="009CE6"/>
          <w:sz w:val="43"/>
          <w:szCs w:val="43"/>
        </w:rPr>
        <w:t>Serapis</w:t>
      </w:r>
      <w:proofErr w:type="spellEnd"/>
    </w:p>
    <w:p w14:paraId="281715B8" w14:textId="77777777" w:rsidR="00382E31" w:rsidRDefault="00382E31" w:rsidP="00382E31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Jméno</w:t>
      </w:r>
    </w:p>
    <w:p w14:paraId="18A9060B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Serapis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(též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Sarapis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) byl synkretickým božstvem </w:t>
      </w:r>
      <w:hyperlink r:id="rId5" w:tooltip="Ptolemaiovský Egypt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ptolemaiovské doby</w:t>
        </w:r>
      </w:hyperlink>
      <w:r>
        <w:rPr>
          <w:rFonts w:ascii="Roboto" w:hAnsi="Roboto" w:cs="Arial"/>
          <w:color w:val="000000"/>
          <w:sz w:val="21"/>
          <w:szCs w:val="21"/>
        </w:rPr>
        <w:t>, který v sobě slučoval aspekty egyptského boha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"https://wikisofia.cz/wiki/Usir" \o "Usir"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, posvátného býka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Apida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Hapiho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) a významných a populárních řeckých božstev Dia a Dionýsa.</w:t>
      </w:r>
      <w:hyperlink r:id="rId6" w:anchor="cite_note-1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[1]</w:t>
        </w:r>
      </w:hyperlink>
    </w:p>
    <w:p w14:paraId="27599170" w14:textId="77777777" w:rsidR="00382E31" w:rsidRDefault="00382E31" w:rsidP="00382E31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Ikonografie a sféry vlivu</w:t>
      </w:r>
    </w:p>
    <w:p w14:paraId="322D4D6E" w14:textId="5910A5B1" w:rsidR="00382E31" w:rsidRDefault="00382E31" w:rsidP="00382E31">
      <w:pPr>
        <w:shd w:val="clear" w:color="auto" w:fill="EFEFE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645AD"/>
          <w:sz w:val="21"/>
          <w:szCs w:val="21"/>
        </w:rPr>
        <w:drawing>
          <wp:inline distT="0" distB="0" distL="0" distR="0" wp14:anchorId="12261793" wp14:editId="2CEB4707">
            <wp:extent cx="983615" cy="1426845"/>
            <wp:effectExtent l="0" t="0" r="6985" b="1905"/>
            <wp:docPr id="6" name="Obrázek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04357" w14:textId="77777777" w:rsidR="00382E31" w:rsidRDefault="00382E31" w:rsidP="00382E31">
      <w:pPr>
        <w:shd w:val="clear" w:color="auto" w:fill="EFEFEF"/>
        <w:rPr>
          <w:rFonts w:ascii="Roboto" w:hAnsi="Roboto" w:cs="Arial"/>
          <w:i/>
          <w:iCs/>
          <w:color w:val="000000"/>
          <w:sz w:val="17"/>
          <w:szCs w:val="17"/>
        </w:rPr>
      </w:pPr>
      <w:r>
        <w:rPr>
          <w:rFonts w:ascii="Roboto" w:hAnsi="Roboto" w:cs="Arial"/>
          <w:i/>
          <w:iCs/>
          <w:color w:val="000000"/>
          <w:sz w:val="17"/>
          <w:szCs w:val="17"/>
        </w:rPr>
        <w:t xml:space="preserve">Bůh </w:t>
      </w:r>
      <w:proofErr w:type="spellStart"/>
      <w:r>
        <w:rPr>
          <w:rFonts w:ascii="Roboto" w:hAnsi="Roboto" w:cs="Arial"/>
          <w:i/>
          <w:iCs/>
          <w:color w:val="000000"/>
          <w:sz w:val="17"/>
          <w:szCs w:val="17"/>
        </w:rPr>
        <w:t>Serapis</w:t>
      </w:r>
      <w:proofErr w:type="spellEnd"/>
    </w:p>
    <w:p w14:paraId="182413EF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Tento bůh býval většinou zobrazován v lidské podobě, v řeckém oděvu, s řeckým účesem a plnovousem, na hlavě mívá košík na ovoce (tzv.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kalathos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) nebo měřici na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obilí.Někdy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mívá i beraní rohy.</w:t>
      </w:r>
      <w:hyperlink r:id="rId9" w:anchor="cite_note-2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[2]</w:t>
        </w:r>
      </w:hyperlink>
    </w:p>
    <w:p w14:paraId="3B1D7B8F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</w:p>
    <w:p w14:paraId="7519FE94" w14:textId="77777777" w:rsidR="00382E31" w:rsidRDefault="00382E31" w:rsidP="00382E31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Mýty a funkce</w:t>
      </w:r>
    </w:p>
    <w:p w14:paraId="0148679C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Jelikož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Serapis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 sobě spojoval aspekty různých egyptských i řeckých božstev, jeho pole působnosti bylo poměrně široké. Byl vládnoucím bohem, ale zároveň v sobě zahrnoval aspekty léčitelského božstva, boha plodnosti, ale také patrona smrti a vzkříšení. Kvůli jeho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usirovským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aspektům byla za jeho manželku považována bohyně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"https://wikisofia.cz/wiki/Eset" \o "Eset"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Eset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.</w:t>
      </w:r>
      <w:hyperlink r:id="rId10" w:anchor="cite_note-3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[3]</w:t>
        </w:r>
      </w:hyperlink>
    </w:p>
    <w:p w14:paraId="51BB7841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</w:p>
    <w:p w14:paraId="20013261" w14:textId="77777777" w:rsidR="00382E31" w:rsidRDefault="00382E31" w:rsidP="00382E31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Kult</w:t>
      </w:r>
    </w:p>
    <w:p w14:paraId="68F66D3B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Nejvýznamnějším centrem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Serapidova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kultu bylo alexandrijské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Serapeum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  <w:hyperlink r:id="rId11" w:anchor="cite_note-4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[4]</w:t>
        </w:r>
      </w:hyperlink>
      <w:r>
        <w:rPr>
          <w:rFonts w:ascii="Roboto" w:hAnsi="Roboto" w:cs="Arial"/>
          <w:color w:val="000000"/>
          <w:sz w:val="21"/>
          <w:szCs w:val="21"/>
        </w:rPr>
        <w:t> Jeho kult byl rozšířen i za hranice Egypta.</w:t>
      </w:r>
    </w:p>
    <w:p w14:paraId="50C960E6" w14:textId="77777777" w:rsidR="00382E31" w:rsidRDefault="00382E31" w:rsidP="00382E31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Reference</w:t>
      </w:r>
    </w:p>
    <w:p w14:paraId="58974A0B" w14:textId="77777777" w:rsidR="00382E31" w:rsidRDefault="00382E31" w:rsidP="00382E31">
      <w:pPr>
        <w:numPr>
          <w:ilvl w:val="0"/>
          <w:numId w:val="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12" w:anchor="cite_ref-1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Pinch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2002: 36</w:t>
      </w:r>
    </w:p>
    <w:p w14:paraId="3F0076D1" w14:textId="77777777" w:rsidR="00382E31" w:rsidRDefault="00382E31" w:rsidP="00382E31">
      <w:pPr>
        <w:numPr>
          <w:ilvl w:val="0"/>
          <w:numId w:val="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13" w:anchor="cite_ref-2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2003: 128</w:t>
      </w:r>
    </w:p>
    <w:p w14:paraId="0FDAFC35" w14:textId="77777777" w:rsidR="00382E31" w:rsidRDefault="00382E31" w:rsidP="00382E31">
      <w:pPr>
        <w:numPr>
          <w:ilvl w:val="0"/>
          <w:numId w:val="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14" w:anchor="cite_ref-3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Janák 2005: 155</w:t>
      </w:r>
    </w:p>
    <w:p w14:paraId="5F0A2D48" w14:textId="77777777" w:rsidR="00382E31" w:rsidRDefault="00382E31" w:rsidP="00382E31">
      <w:pPr>
        <w:numPr>
          <w:ilvl w:val="0"/>
          <w:numId w:val="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15" w:anchor="cite_ref-4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Verner 2010: 473-493</w:t>
      </w:r>
    </w:p>
    <w:p w14:paraId="24780D8E" w14:textId="77777777" w:rsidR="00382E31" w:rsidRDefault="00382E31" w:rsidP="00382E31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Literatura</w:t>
      </w:r>
    </w:p>
    <w:p w14:paraId="2CACD7BB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Bommas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Martin 2012. Isis, Osiris,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Serapis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In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Riggs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Christina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.),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Oxford handbook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Roman Egypt, 419-435. Oxford: Oxford University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Press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7DDCDDEC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Colazilli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Alessandra 2014.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worship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Isis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Serapis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in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Nomentum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(Rome):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some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epigraphic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archaeological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evidence.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Journal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Interconnections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6 (2), 1-9</w:t>
      </w:r>
    </w:p>
    <w:p w14:paraId="1D3AA165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Janák, J. 2005: Brána nebes: bohové a démoni starého Egypta, 1. vyd. Praha: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Libri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6D4E6080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Pinch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G. 2004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guide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traditions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Egypt. New York: Oxford University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Press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72D91345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Pinch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G. 2002 : Handbook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Handbooks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World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 Santa Barbara, CA: ABC-CLIO.</w:t>
      </w:r>
    </w:p>
    <w:p w14:paraId="0CC5392D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Pfeiffer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Stefan 2008.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Serapis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his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cult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beginnings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ruler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cult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in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Ptolemaic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Egypt. In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McKechnie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Paul and Philippe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Guillaume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),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Ptolemy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II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Philadelphus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his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world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387-408. Leiden: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Brill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052F379C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Verner, M., 2010: Chrám světa: svatyně, kulty a mysteria starověkého Egypta. Praha: Academia.</w:t>
      </w:r>
    </w:p>
    <w:p w14:paraId="7F75215A" w14:textId="77777777" w:rsidR="00382E31" w:rsidRDefault="00382E31" w:rsidP="00382E31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Wilkinson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Richard H. 2003 :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complete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Egypt, London: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Thames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Hudson.</w:t>
      </w:r>
    </w:p>
    <w:p w14:paraId="7DD0E00D" w14:textId="77777777" w:rsidR="00D66D95" w:rsidRPr="00382E31" w:rsidRDefault="00D66D95" w:rsidP="00382E31"/>
    <w:sectPr w:rsidR="00D66D95" w:rsidRPr="0038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B86BA8"/>
    <w:multiLevelType w:val="multilevel"/>
    <w:tmpl w:val="A696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4"/>
  </w:num>
  <w:num w:numId="3" w16cid:durableId="704797758">
    <w:abstractNumId w:val="2"/>
  </w:num>
  <w:num w:numId="4" w16cid:durableId="1248005663">
    <w:abstractNumId w:val="5"/>
  </w:num>
  <w:num w:numId="5" w16cid:durableId="1655447689">
    <w:abstractNumId w:val="1"/>
  </w:num>
  <w:num w:numId="6" w16cid:durableId="2088840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2874CE"/>
    <w:rsid w:val="00382E31"/>
    <w:rsid w:val="0074187B"/>
    <w:rsid w:val="00A71496"/>
    <w:rsid w:val="00B553CE"/>
    <w:rsid w:val="00C360D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550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ikisofia.cz/wiki/Serapi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kisofia.cz/wiki/Soubor:Serapis_vatican.jpg" TargetMode="External"/><Relationship Id="rId12" Type="http://schemas.openxmlformats.org/officeDocument/2006/relationships/hyperlink" Target="https://wikisofia.cz/wiki/Serapi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erapis" TargetMode="External"/><Relationship Id="rId11" Type="http://schemas.openxmlformats.org/officeDocument/2006/relationships/hyperlink" Target="https://wikisofia.cz/wiki/Serapis" TargetMode="External"/><Relationship Id="rId5" Type="http://schemas.openxmlformats.org/officeDocument/2006/relationships/hyperlink" Target="https://wikisofia.cz/wiki/Ptolemaiovsk%C3%BD_Egypt" TargetMode="External"/><Relationship Id="rId15" Type="http://schemas.openxmlformats.org/officeDocument/2006/relationships/hyperlink" Target="https://wikisofia.cz/wiki/Serapis" TargetMode="External"/><Relationship Id="rId10" Type="http://schemas.openxmlformats.org/officeDocument/2006/relationships/hyperlink" Target="https://wikisofia.cz/wiki/Serap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Serapis" TargetMode="External"/><Relationship Id="rId14" Type="http://schemas.openxmlformats.org/officeDocument/2006/relationships/hyperlink" Target="https://wikisofia.cz/wiki/Serapis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2023-02-15T05:54:00Z</dcterms:created>
  <dcterms:modified xsi:type="dcterms:W3CDTF">2023-02-15T05:54:00Z</dcterms:modified>
</cp:coreProperties>
</file>